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A3" w:rsidRPr="00405203" w:rsidRDefault="006B2DA3" w:rsidP="006B2DA3">
      <w:pPr>
        <w:pStyle w:val="berschrift3"/>
      </w:pPr>
      <w:bookmarkStart w:id="0" w:name="_Toc503936877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C00A" wp14:editId="102B0BFD">
                <wp:simplePos x="0" y="0"/>
                <wp:positionH relativeFrom="rightMargin">
                  <wp:posOffset>-2052320</wp:posOffset>
                </wp:positionH>
                <wp:positionV relativeFrom="line">
                  <wp:posOffset>36195</wp:posOffset>
                </wp:positionV>
                <wp:extent cx="2072640" cy="198120"/>
                <wp:effectExtent l="0" t="0" r="3810" b="635"/>
                <wp:wrapNone/>
                <wp:docPr id="346" name="Textfeld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DA3" w:rsidRDefault="006B2DA3" w:rsidP="006B2DA3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6" o:spid="_x0000_s1026" type="#_x0000_t202" style="position:absolute;margin-left:-161.6pt;margin-top: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" filled="f" stroked="f">
                <v:textbox style="mso-fit-shape-to-text:t" inset="1mm,1mm,1mm,0">
                  <w:txbxContent>
                    <w:p w:rsidR="006B2DA3" w:rsidRDefault="006B2DA3" w:rsidP="006B2DA3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85"/>
      <w:bookmarkStart w:id="2" w:name="_Toc436313668"/>
      <w:r w:rsidRPr="00405203">
        <w:t>Schlitzrinne Typ 660, Standard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6B2DA3" w:rsidRPr="00405203" w:rsidTr="00D922BF">
        <w:trPr>
          <w:cantSplit/>
          <w:tblHeader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6B2DA3" w:rsidRPr="00405203" w:rsidTr="00D922BF">
        <w:trPr>
          <w:cantSplit/>
          <w:tblHeader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6B2DA3" w:rsidRPr="00405203" w:rsidTr="00D922BF">
        <w:trPr>
          <w:cantSplit/>
          <w:trHeight w:val="2032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Schlitzrinne</w:t>
            </w:r>
            <w:r>
              <w:rPr>
                <w:rFonts w:eastAsia="Times New Roman" w:cs="Arial"/>
                <w:szCs w:val="16"/>
                <w:lang w:eastAsia="de-DE"/>
              </w:rPr>
              <w:t>,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660 SR-VA </w:t>
            </w:r>
            <w:r w:rsidRPr="00FD783B">
              <w:rPr>
                <w:rFonts w:eastAsia="Times New Roman" w:cs="Arial"/>
                <w:szCs w:val="16"/>
                <w:lang w:eastAsia="de-DE"/>
              </w:rPr>
              <w:t xml:space="preserve">Baubreite 90 mm,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</w:t>
            </w:r>
            <w:r>
              <w:rPr>
                <w:rFonts w:eastAsia="Times New Roman" w:cs="Arial"/>
                <w:szCs w:val="16"/>
                <w:lang w:eastAsia="de-DE"/>
              </w:rPr>
              <w:t>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</w:t>
            </w:r>
            <w:r>
              <w:rPr>
                <w:rFonts w:eastAsia="Times New Roman" w:cs="Arial"/>
                <w:szCs w:val="16"/>
                <w:lang w:eastAsia="de-DE"/>
              </w:rPr>
              <w:t>t tiefer liegenden Aussteifungs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stegen. Rinne ohne Gefälle, in Baulängen bis 3 m an einem Stück, inkl. aller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mit Steckverbindungen, für schnelle und einfache Verlegung ohne Höhenversatz.</w:t>
            </w: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6B2DA3" w:rsidRPr="00405203" w:rsidRDefault="006B2DA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18 mm nach EN 1433)</w:t>
            </w:r>
          </w:p>
          <w:p w:rsidR="006B2DA3" w:rsidRPr="00405203" w:rsidRDefault="006B2DA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6B2DA3" w:rsidRPr="00405203" w:rsidRDefault="006B2DA3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240 mm)</w:t>
            </w: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6B2DA3" w:rsidRPr="009215FD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6B2DA3" w:rsidRPr="00405203" w:rsidTr="00D922BF">
        <w:trPr>
          <w:cantSplit/>
          <w:trHeight w:val="100"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  <w:trHeight w:val="100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  <w:trHeight w:val="274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Schlitzabdeckung aus Edelstahl, mit Lochung oder Schlitzen (zur Verminderung von Schmutzeintrag und als Amphibienschutz), Ausführung selbstarretierend.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eingeschweißtem Ablaufstutzen DN 100 senkrecht oder waagerecht.</w:t>
            </w: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Edelstahl-Geruchsverschluss DN 100 wasserlos, als Geruchsabschottung für Außenbereiche, zum </w:t>
            </w:r>
          </w:p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B2DA3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2DA3" w:rsidRPr="00405203" w:rsidRDefault="006B2DA3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6B2DA3" w:rsidRPr="009A32B1" w:rsidRDefault="006B2DA3" w:rsidP="006B2DA3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132257" w:rsidRPr="006B2DA3" w:rsidRDefault="00132257" w:rsidP="006B2DA3">
      <w:bookmarkStart w:id="3" w:name="_GoBack"/>
      <w:bookmarkEnd w:id="3"/>
    </w:p>
    <w:sectPr w:rsidR="00132257" w:rsidRPr="006B2DA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57"/>
    <w:rsid w:val="00067915"/>
    <w:rsid w:val="000C08F1"/>
    <w:rsid w:val="00132257"/>
    <w:rsid w:val="00156D91"/>
    <w:rsid w:val="0020156A"/>
    <w:rsid w:val="00260059"/>
    <w:rsid w:val="003D2269"/>
    <w:rsid w:val="006B2DA3"/>
    <w:rsid w:val="007E2BCC"/>
    <w:rsid w:val="00907516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257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132257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132257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132257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132257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132257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2257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132257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132257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132257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132257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132257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2</cp:revision>
  <dcterms:created xsi:type="dcterms:W3CDTF">2016-06-13T09:29:00Z</dcterms:created>
  <dcterms:modified xsi:type="dcterms:W3CDTF">2018-01-22T13:07:00Z</dcterms:modified>
</cp:coreProperties>
</file>