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1C" w:rsidRPr="00405203" w:rsidRDefault="0058491C" w:rsidP="0058491C">
      <w:pPr>
        <w:pStyle w:val="Folgeberschr3"/>
        <w:jc w:val="left"/>
        <w:rPr>
          <w:szCs w:val="20"/>
        </w:rPr>
      </w:pPr>
      <w:r w:rsidRPr="00A54B1B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574F" wp14:editId="41F72061">
                <wp:simplePos x="0" y="0"/>
                <wp:positionH relativeFrom="rightMargin">
                  <wp:posOffset>-1944370</wp:posOffset>
                </wp:positionH>
                <wp:positionV relativeFrom="line">
                  <wp:posOffset>36195</wp:posOffset>
                </wp:positionV>
                <wp:extent cx="1981835" cy="198120"/>
                <wp:effectExtent l="0" t="0" r="0" b="635"/>
                <wp:wrapNone/>
                <wp:docPr id="345" name="Textfeld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1C" w:rsidRDefault="0058491C" w:rsidP="0058491C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 xml:space="preserve">Werkstoff Stahl </w:t>
                            </w:r>
                            <w:r w:rsidR="00BA03A4">
                              <w:t>stückverzinkt nach DIN EN ISO 1461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574F" id="_x0000_t202" coordsize="21600,21600" o:spt="202" path="m,l,21600r21600,l21600,xe">
                <v:stroke joinstyle="miter"/>
                <v:path gradientshapeok="t" o:connecttype="rect"/>
              </v:shapetype>
              <v:shape id="Textfeld 345" o:spid="_x0000_s1026" type="#_x0000_t202" style="position:absolute;margin-left:-153.1pt;margin-top: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" filled="f" stroked="f">
                <v:textbox style="mso-fit-shape-to-text:t" inset="1mm,1mm,1mm,0">
                  <w:txbxContent>
                    <w:p w:rsidR="0058491C" w:rsidRDefault="0058491C" w:rsidP="0058491C">
                      <w:pPr>
                        <w:pStyle w:val="Folgeberschr3"/>
                        <w:spacing w:before="0" w:after="0" w:line="240" w:lineRule="auto"/>
                      </w:pPr>
                      <w:r>
                        <w:t xml:space="preserve">Werkstoff Stahl </w:t>
                      </w:r>
                      <w:r w:rsidR="00BA03A4">
                        <w:t>stückverzinkt nach DIN EN ISO 1461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54B1B">
        <w:rPr>
          <w:color w:val="auto"/>
          <w:szCs w:val="20"/>
        </w:rPr>
        <w:t>Schlitzrinne Typ 660, Standard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58491C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58491C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58491C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Schlitzrinne</w:t>
            </w:r>
            <w:r>
              <w:rPr>
                <w:rFonts w:eastAsia="Times New Roman" w:cs="Arial"/>
                <w:szCs w:val="16"/>
                <w:lang w:eastAsia="de-DE"/>
              </w:rPr>
              <w:t>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660 SR-ZN Baubreite 90 mm, aus Werkstof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f Stahl S235JR – </w:t>
            </w:r>
            <w:r w:rsidR="00BA03A4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>
              <w:rPr>
                <w:rFonts w:eastAsia="Times New Roman" w:cs="Arial"/>
                <w:szCs w:val="16"/>
                <w:lang w:eastAsia="de-DE"/>
              </w:rPr>
              <w:t>,</w:t>
            </w:r>
            <w:r w:rsidR="00A54B1B">
              <w:rPr>
                <w:rFonts w:eastAsia="Times New Roman" w:cs="Arial"/>
                <w:szCs w:val="16"/>
                <w:lang w:eastAsia="de-DE"/>
              </w:rPr>
              <w:t xml:space="preserve">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</w:t>
            </w:r>
            <w:r w:rsidR="00A54B1B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tiefer liegenden Aussteifungs-stegen.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  <w14:ligatures w14:val="standard"/>
                <w14:cntxtAlts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  <w14:ligatures w14:val="standard"/>
                <w14:cntxtAlts/>
              </w:rPr>
              <w:t>Technische Daten:</w:t>
            </w:r>
          </w:p>
          <w:p w:rsidR="0058491C" w:rsidRPr="00405203" w:rsidRDefault="0058491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(max. 18 mm nach EN 1433)</w:t>
            </w:r>
          </w:p>
          <w:p w:rsidR="0058491C" w:rsidRPr="00405203" w:rsidRDefault="0058491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.. mm</w:t>
            </w:r>
          </w:p>
          <w:p w:rsidR="0058491C" w:rsidRPr="00405203" w:rsidRDefault="0058491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  <w14:ligatures w14:val="standard"/>
                <w14:cntxtAlts/>
              </w:rPr>
              <w:tab/>
              <w:t>(max. 240 mm)</w:t>
            </w: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8491C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</w:t>
            </w:r>
          </w:p>
          <w:p w:rsidR="0058491C" w:rsidRPr="009215FD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4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rPr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rPr>
                <w:lang w:eastAsia="de-DE"/>
              </w:rPr>
            </w:pPr>
          </w:p>
        </w:tc>
      </w:tr>
      <w:tr w:rsidR="0058491C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bookmarkStart w:id="0" w:name="_GoBack"/>
            <w:bookmarkEnd w:id="0"/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asciiTheme="minorHAnsi" w:hAnsiTheme="minorHAnsi" w:cs="Arial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asciiTheme="minorHAnsi" w:hAnsiTheme="minorHAnsi" w:cs="Arial"/>
                <w:lang w:eastAsia="de-DE"/>
              </w:rPr>
            </w:pPr>
          </w:p>
        </w:tc>
      </w:tr>
      <w:tr w:rsidR="0058491C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 Gradzahlen als Innen- oder Außenecke,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Schlitzabdeckung aus Edelstahl, mit Lochung oder Schlitzen (zur Verminderung von Schmutzeintrag und als Amphibienschutz), Ausführung selbstarretierend.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aus Werkstoff Stahl S235JR – </w:t>
            </w:r>
            <w:r w:rsidR="00BA03A4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>Befüllung mit Oberflächenbelag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eingeschweißtem Ablaufstutzen DN 100 senkrecht oder waagerecht.</w:t>
            </w: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rFonts w:cs="Arial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jc w:val="right"/>
              <w:rPr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8491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8491C" w:rsidRPr="00405203" w:rsidRDefault="0058491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58491C" w:rsidRPr="009A32B1" w:rsidRDefault="0058491C" w:rsidP="0058491C">
      <w:pPr>
        <w:rPr>
          <w:i/>
        </w:rPr>
      </w:pPr>
      <w:r w:rsidRPr="009A32B1">
        <w:rPr>
          <w:i/>
        </w:rPr>
        <w:t xml:space="preserve"> (Nichtzutreffendes bitte streichen)</w:t>
      </w:r>
    </w:p>
    <w:p w:rsidR="00260059" w:rsidRPr="0058491C" w:rsidRDefault="00260059" w:rsidP="0058491C"/>
    <w:sectPr w:rsidR="00260059" w:rsidRPr="0058491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EB"/>
    <w:rsid w:val="00067915"/>
    <w:rsid w:val="000C08F1"/>
    <w:rsid w:val="00156D91"/>
    <w:rsid w:val="0020156A"/>
    <w:rsid w:val="00260059"/>
    <w:rsid w:val="003D2269"/>
    <w:rsid w:val="0058491C"/>
    <w:rsid w:val="007E2BCC"/>
    <w:rsid w:val="00907516"/>
    <w:rsid w:val="009C3EEB"/>
    <w:rsid w:val="00A54B1B"/>
    <w:rsid w:val="00BA03A4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DD88-0088-44AC-B6BB-884DC43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EEB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3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3EEB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C3EEB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9C3EEB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3EEB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otec-edelst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5</cp:revision>
  <dcterms:created xsi:type="dcterms:W3CDTF">2016-06-13T09:31:00Z</dcterms:created>
  <dcterms:modified xsi:type="dcterms:W3CDTF">2019-11-29T07:24:00Z</dcterms:modified>
</cp:coreProperties>
</file>