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5D" w:rsidRPr="00405203" w:rsidRDefault="00C55C5D" w:rsidP="00C55C5D">
      <w:pPr>
        <w:pStyle w:val="berschrift3"/>
      </w:pPr>
      <w:bookmarkStart w:id="0" w:name="_Toc503936897"/>
      <w:r w:rsidRPr="00405203">
        <w:t>Doppelschlitzrinne Typ 660.2, befahrbar, zur separaten Ableitung von Brunnen- und Regenwasser</w:t>
      </w:r>
      <w:bookmarkEnd w:id="0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C55C5D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C55C5D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C55C5D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Entwässerungsrinne als Doppelschlitzrinne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660.2 SR-VA aus Edelstahl, Werkstoff 1.4301 (V2A), zur separaten Ableitung von Brunnen- und Oberflächenwasser, Anordnung der Rinnenbäuche nebeneinander, Baubreite 2x 90 mm. Materialstärke 2 mm. Brunnenseitige Rinnenseitenwand ca. 10 mm abgesenkt.</w:t>
            </w:r>
          </w:p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Belastung bis B 125,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in Anlehnung an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DIN EN 1433, Rinne mit verstärktem Einlaufrand t= 5 mm, mit tiefer liegenden Aussteifungsstegen. Rinne ohne Gefälle, in Baulängen bis 3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</w:t>
            </w:r>
          </w:p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Rinnenlängen über 3 m vorbereitet zur Baustellenverschweißung.</w:t>
            </w:r>
          </w:p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Ausführung als </w:t>
            </w:r>
            <w:r>
              <w:rPr>
                <w:rFonts w:eastAsia="Times New Roman" w:cs="Arial"/>
                <w:szCs w:val="16"/>
                <w:lang w:eastAsia="de-DE"/>
              </w:rPr>
              <w:t>Etagendoppelrinne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mit einseitig bündiger Rinnenseitenwand zum Einbau am Brunnensockel, Baubreite ab 100 mm.</w:t>
            </w:r>
          </w:p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C55C5D" w:rsidRPr="00405203" w:rsidRDefault="00C55C5D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C55C5D" w:rsidRPr="00405203" w:rsidRDefault="00C55C5D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 xml:space="preserve"> 2x 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(max. 18 mm nach EN 1433)</w:t>
            </w:r>
          </w:p>
          <w:p w:rsidR="00C55C5D" w:rsidRPr="00405203" w:rsidRDefault="00C55C5D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auch</w:t>
            </w:r>
            <w:r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breite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: 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2x 90 mm</w:t>
            </w:r>
          </w:p>
          <w:p w:rsidR="00C55C5D" w:rsidRPr="00405203" w:rsidRDefault="00C55C5D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Schlitzhöhe: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</w:p>
          <w:p w:rsidR="00C55C5D" w:rsidRPr="00405203" w:rsidRDefault="00C55C5D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Gesamthöhe: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(max. 240 mm)</w:t>
            </w:r>
          </w:p>
          <w:p w:rsidR="00C55C5D" w:rsidRPr="00405203" w:rsidRDefault="00C55C5D" w:rsidP="00D922BF">
            <w:pPr>
              <w:spacing w:line="276" w:lineRule="auto"/>
              <w:rPr>
                <w:lang w:eastAsia="de-DE"/>
              </w:rPr>
            </w:pPr>
          </w:p>
          <w:p w:rsidR="00C55C5D" w:rsidRPr="009215FD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Liefern, sowie nach Herstellervorschrift höhen- und fluchtgerecht verlegen, auf einem 15 bis 20 cm starken </w:t>
            </w:r>
            <w:r w:rsidRPr="009215FD">
              <w:rPr>
                <w:rFonts w:eastAsia="Times New Roman" w:cs="Arial"/>
                <w:szCs w:val="16"/>
                <w:lang w:eastAsia="de-DE"/>
              </w:rPr>
              <w:t>Betonbett mit mindestens 15 cm breiten Seitenstützen aus mindestens Betongüte C20/25 nach EN 206/1.</w:t>
            </w:r>
          </w:p>
          <w:p w:rsidR="00C55C5D" w:rsidRPr="009215FD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C55C5D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55C5D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55C5D" w:rsidRPr="00405203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55C5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55C5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55C5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55C5D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Sperrflansch für WU-Beton einseitig zur Brunnenfläche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55C5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55C5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Ablauf-/Revisionskasten Abmessung ca. 200x200 mm,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kpl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aus Edelstahl, Werkstoff 1.4301 (V2A), mit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der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Schlitzrinne einseitig bündig an beliebiger Stelle verschweißt, Einlaufschlitz der Rinne durchlaufend. Lieferung mit Revisionsdeckel für bauseitige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Befüllung mit 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Oberflächenbelag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, einschließlich Bedienschlüssel und eingeschweißtem Ablaufstutzen DN 100 senkrecht oder waagerecht.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55C5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C55C5D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Alternativ für „Doppelstockschlitzrinne“:</w:t>
            </w:r>
          </w:p>
          <w:p w:rsidR="00C55C5D" w:rsidRPr="00405203" w:rsidRDefault="00C55C5D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Ablauf-/Revisionskasten Abmessung ab 200x200 mm,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kpl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. aus Edelstahl, Werkstoff 1.4301 (V2A), mit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der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Schlitzrinne einseitig bündig an beliebiger Stelle verschweißt, Einlaufschlitz der Rinnen durchlaufend. Lieferung mit Revisionsdeckel für bauseitige 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Befüllung mit </w:t>
            </w:r>
            <w:proofErr w:type="spellStart"/>
            <w:r>
              <w:rPr>
                <w:rFonts w:eastAsia="Times New Roman" w:cs="Arial"/>
                <w:szCs w:val="16"/>
                <w:lang w:eastAsia="de-DE"/>
              </w:rPr>
              <w:t>Oberflächenbelag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, einschließlich Bedienschlüssel und zwei eingeschweißten Ablaufstutzen DN 100 senkrecht oder waagerecht. Zugang zu den getrennten Rinnenkammern über einen Revisionskasten.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C55C5D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55C5D" w:rsidRPr="00405203" w:rsidRDefault="00C55C5D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C55C5D" w:rsidRPr="009A32B1" w:rsidRDefault="00C55C5D" w:rsidP="00C55C5D">
      <w:pPr>
        <w:rPr>
          <w:i/>
        </w:rPr>
      </w:pPr>
      <w:r w:rsidRPr="009A32B1">
        <w:rPr>
          <w:i/>
        </w:rPr>
        <w:t>(Nichtzutreffendes bitte streichen)</w:t>
      </w:r>
      <w:r w:rsidRPr="009A32B1">
        <w:rPr>
          <w:i/>
        </w:rPr>
        <w:tab/>
      </w:r>
      <w:r w:rsidRPr="009A32B1">
        <w:rPr>
          <w:i/>
        </w:rPr>
        <w:tab/>
      </w:r>
      <w:r w:rsidRPr="009A32B1">
        <w:rPr>
          <w:rFonts w:eastAsia="Times New Roman" w:cs="Arial"/>
          <w:i/>
          <w:color w:val="000000"/>
          <w:kern w:val="28"/>
          <w:szCs w:val="16"/>
          <w:lang w:eastAsia="de-DE"/>
          <w14:ligatures w14:val="standard"/>
          <w14:cntxtAlts/>
        </w:rPr>
        <w:t>Alternativ: Werkstoff V4A (1.4404)</w:t>
      </w:r>
      <w:bookmarkStart w:id="1" w:name="_GoBack"/>
      <w:bookmarkEnd w:id="1"/>
    </w:p>
    <w:p w:rsidR="005044D5" w:rsidRPr="00C55C5D" w:rsidRDefault="005044D5" w:rsidP="00C55C5D"/>
    <w:sectPr w:rsidR="005044D5" w:rsidRPr="00C55C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D5"/>
    <w:rsid w:val="0002505B"/>
    <w:rsid w:val="00135802"/>
    <w:rsid w:val="005044D5"/>
    <w:rsid w:val="00607197"/>
    <w:rsid w:val="00C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44D5"/>
    <w:pPr>
      <w:spacing w:after="0" w:line="240" w:lineRule="auto"/>
    </w:pPr>
    <w:rPr>
      <w:rFonts w:ascii="News Gothic" w:hAnsi="News Gothic"/>
      <w:sz w:val="16"/>
    </w:rPr>
  </w:style>
  <w:style w:type="paragraph" w:styleId="berschrift3">
    <w:name w:val="heading 3"/>
    <w:next w:val="Standard"/>
    <w:link w:val="berschrift3Zchn"/>
    <w:uiPriority w:val="1"/>
    <w:qFormat/>
    <w:rsid w:val="005044D5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5044D5"/>
    <w:rPr>
      <w:rFonts w:ascii="News Gothic" w:eastAsiaTheme="majorEastAsia" w:hAnsi="News Gothic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5044D5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44D5"/>
    <w:pPr>
      <w:spacing w:after="0" w:line="240" w:lineRule="auto"/>
    </w:pPr>
    <w:rPr>
      <w:rFonts w:ascii="News Gothic" w:hAnsi="News Gothic"/>
      <w:sz w:val="16"/>
    </w:rPr>
  </w:style>
  <w:style w:type="paragraph" w:styleId="berschrift3">
    <w:name w:val="heading 3"/>
    <w:next w:val="Standard"/>
    <w:link w:val="berschrift3Zchn"/>
    <w:uiPriority w:val="1"/>
    <w:qFormat/>
    <w:rsid w:val="005044D5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5044D5"/>
    <w:rPr>
      <w:rFonts w:ascii="News Gothic" w:eastAsiaTheme="majorEastAsia" w:hAnsi="News Gothic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5044D5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3</cp:revision>
  <dcterms:created xsi:type="dcterms:W3CDTF">2016-06-17T09:19:00Z</dcterms:created>
  <dcterms:modified xsi:type="dcterms:W3CDTF">2018-01-22T13:43:00Z</dcterms:modified>
</cp:coreProperties>
</file>