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AB" w:rsidRPr="00405203" w:rsidRDefault="00E908AB" w:rsidP="00E908AB">
      <w:pPr>
        <w:pStyle w:val="berschrift3"/>
      </w:pPr>
      <w:bookmarkStart w:id="0" w:name="_Toc503936898"/>
      <w:r w:rsidRPr="00405203">
        <w:t>Schwerlastdoppelkammerrinne mit seitlichen Einlaufschlitzen, Belastung bis C 250, zur getrennten Ableitung des Wassers</w:t>
      </w:r>
      <w:bookmarkEnd w:id="0"/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E908AB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908AB" w:rsidRPr="00405203" w:rsidRDefault="00E908AB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E908AB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E908AB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rPr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Schwerlast-Entwässerungsrinne Doppelkammerrinne </w:t>
            </w:r>
            <w:r>
              <w:rPr>
                <w:rFonts w:eastAsia="Times New Roman" w:cs="Arial"/>
                <w:szCs w:val="16"/>
                <w:lang w:eastAsia="de-DE"/>
              </w:rPr>
              <w:t>mit mittiger Pflaster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reihe und seitlichen Einlaufschlitzen zur separaten Ableitung von Brunnen- und Oberflächenwasser, aus Edelstahl, Werkstoff 1.4301 (V2A), Materialstärke 5 mm. Belastung bis C250,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in Anlehnung an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DIN EN 1433, Rinne ohne Gefälle, mit Schwerlastankern, mit stabilen Stellschrauben zur Aufständerung und Nivellierung. Rinne in Baulängen bis 3 m an einem Stück, inkl. aller </w:t>
            </w:r>
            <w:r>
              <w:rPr>
                <w:rFonts w:eastAsia="Times New Roman" w:cs="Arial"/>
                <w:szCs w:val="16"/>
                <w:lang w:eastAsia="de-DE"/>
              </w:rPr>
              <w:t>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 Rinnenlängen über 3 m </w:t>
            </w:r>
            <w:r w:rsidRPr="00405203">
              <w:rPr>
                <w:lang w:eastAsia="de-DE"/>
              </w:rPr>
              <w:t>vorbereitet zur Baustellenverschweißung.</w:t>
            </w:r>
          </w:p>
          <w:p w:rsidR="00E908AB" w:rsidRPr="00405203" w:rsidRDefault="00E908A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E908AB" w:rsidRPr="00405203" w:rsidRDefault="00E908AB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E908AB" w:rsidRPr="00405203" w:rsidRDefault="00E908AB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Gesamtbreite: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(ab 220 mm)</w:t>
            </w:r>
          </w:p>
          <w:p w:rsidR="00E908AB" w:rsidRPr="00405203" w:rsidRDefault="00E908AB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Gesamthöhe: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E908AB" w:rsidRPr="00405203" w:rsidRDefault="00E908AB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</w:r>
          </w:p>
          <w:p w:rsidR="00E908AB" w:rsidRPr="00405203" w:rsidRDefault="00E908AB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(max. 18 mm nach EN 1433)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</w:r>
          </w:p>
          <w:p w:rsidR="00E908AB" w:rsidRPr="00405203" w:rsidRDefault="00E908AB" w:rsidP="00D922BF">
            <w:pPr>
              <w:spacing w:line="276" w:lineRule="auto"/>
              <w:rPr>
                <w:lang w:eastAsia="de-DE"/>
              </w:rPr>
            </w:pPr>
          </w:p>
          <w:p w:rsidR="00E908AB" w:rsidRPr="009215FD" w:rsidRDefault="00E908A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Liefern, sowie nach Herstellervorschrift höhen- und fluchtgerecht verlegen, auf einem mind. 20 cm starken </w:t>
            </w:r>
            <w:r w:rsidRPr="009215FD">
              <w:rPr>
                <w:rFonts w:eastAsia="Times New Roman" w:cs="Arial"/>
                <w:szCs w:val="16"/>
                <w:lang w:eastAsia="de-DE"/>
              </w:rPr>
              <w:t>Betonbett mit mindestens 20 cm breiten Seitenstützen aus mindestens Betongüte C25/30 nach EN 206/1.</w:t>
            </w:r>
          </w:p>
          <w:p w:rsidR="00E908AB" w:rsidRPr="009215FD" w:rsidRDefault="00E908A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E908AB" w:rsidRPr="00405203" w:rsidRDefault="00E908A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5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rPr>
                <w:rFonts w:eastAsia="Times New Roman" w:cs="Times New Roman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rPr>
                <w:rFonts w:eastAsia="Times New Roman" w:cs="Times New Roman"/>
                <w:szCs w:val="16"/>
                <w:u w:val="single"/>
                <w:lang w:eastAsia="de-DE"/>
              </w:rPr>
            </w:pPr>
          </w:p>
        </w:tc>
      </w:tr>
      <w:tr w:rsidR="00E908AB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E908AB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908AB" w:rsidRPr="00405203" w:rsidRDefault="00E908AB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E908AB" w:rsidRPr="00405203" w:rsidTr="00D922BF">
        <w:trPr>
          <w:cantSplit/>
          <w:trHeight w:val="274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908AB" w:rsidRPr="00405203" w:rsidRDefault="00E908A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E908AB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E908AB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908AB" w:rsidRPr="00405203" w:rsidRDefault="00E908A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E908AB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E908AB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Sperrflansch für WU-Beton einseitig zur Brunnenfläche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E908AB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E908AB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Ablaufstutzen für Brunnenwasser, werkseitig eingeschweißt, Abgang wahlweise senkrecht oder waagerecht.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E908AB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E908AB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Ablauf-/Revisionskasten Abmessung ab 220x220 mm,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kpl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. aus Edelstahl, Werkstoff 1.4301 (V2A), an beliebiger Stelle im Rinnenverlauf, Einlaufschlitze der Rinnenkammern durchlaufend. Lieferung mit Revisionsdeckel für bauseitige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Pflaster</w:t>
            </w:r>
            <w:r>
              <w:rPr>
                <w:rFonts w:eastAsia="Times New Roman" w:cs="Arial"/>
                <w:szCs w:val="16"/>
                <w:lang w:eastAsia="de-DE"/>
              </w:rPr>
              <w:t>Befüllung</w:t>
            </w:r>
            <w:proofErr w:type="spellEnd"/>
            <w:r>
              <w:rPr>
                <w:rFonts w:eastAsia="Times New Roman" w:cs="Arial"/>
                <w:szCs w:val="16"/>
                <w:lang w:eastAsia="de-DE"/>
              </w:rPr>
              <w:t xml:space="preserve"> mit </w:t>
            </w:r>
            <w:proofErr w:type="spellStart"/>
            <w:r>
              <w:rPr>
                <w:rFonts w:eastAsia="Times New Roman" w:cs="Arial"/>
                <w:szCs w:val="16"/>
                <w:lang w:eastAsia="de-DE"/>
              </w:rPr>
              <w:t>Oberflächenbelag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>, einschließlich Bedienschlüssel und zwei eingeschweißten Ablaufstutzen DN 100 senkrecht oder waagerecht.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E908AB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908AB" w:rsidRPr="00405203" w:rsidRDefault="00E908A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E908AB" w:rsidRPr="009A32B1" w:rsidRDefault="00E908AB" w:rsidP="00E908AB">
      <w:pPr>
        <w:rPr>
          <w:i/>
        </w:rPr>
      </w:pPr>
      <w:r w:rsidRPr="009A32B1">
        <w:rPr>
          <w:i/>
        </w:rPr>
        <w:t>(Nichtzutreffendes bitte streichen)</w:t>
      </w:r>
      <w:r w:rsidRPr="009A32B1">
        <w:rPr>
          <w:i/>
        </w:rPr>
        <w:tab/>
      </w:r>
      <w:r w:rsidRPr="009A32B1">
        <w:rPr>
          <w:i/>
        </w:rPr>
        <w:tab/>
      </w:r>
      <w:r w:rsidRPr="009A32B1">
        <w:rPr>
          <w:rFonts w:eastAsia="Times New Roman" w:cs="Arial"/>
          <w:i/>
          <w:color w:val="000000"/>
          <w:kern w:val="28"/>
          <w:szCs w:val="16"/>
          <w:lang w:eastAsia="de-DE"/>
          <w14:ligatures w14:val="standard"/>
          <w14:cntxtAlts/>
        </w:rPr>
        <w:t>Alternativ: Werkstoff V4A (1.4404)</w:t>
      </w:r>
    </w:p>
    <w:p w:rsidR="0040616D" w:rsidRPr="00E908AB" w:rsidRDefault="0040616D" w:rsidP="00E908AB">
      <w:bookmarkStart w:id="1" w:name="_GoBack"/>
      <w:bookmarkEnd w:id="1"/>
    </w:p>
    <w:sectPr w:rsidR="0040616D" w:rsidRPr="00E908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6D"/>
    <w:rsid w:val="00135802"/>
    <w:rsid w:val="0040616D"/>
    <w:rsid w:val="00607197"/>
    <w:rsid w:val="00E14877"/>
    <w:rsid w:val="00E9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616D"/>
    <w:pPr>
      <w:spacing w:after="0" w:line="240" w:lineRule="auto"/>
    </w:pPr>
    <w:rPr>
      <w:rFonts w:ascii="News Gothic" w:hAnsi="News Gothic"/>
      <w:sz w:val="16"/>
    </w:rPr>
  </w:style>
  <w:style w:type="paragraph" w:styleId="berschrift3">
    <w:name w:val="heading 3"/>
    <w:next w:val="Standard"/>
    <w:link w:val="berschrift3Zchn"/>
    <w:uiPriority w:val="1"/>
    <w:qFormat/>
    <w:rsid w:val="0040616D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40616D"/>
    <w:rPr>
      <w:rFonts w:ascii="News Gothic" w:eastAsiaTheme="majorEastAsia" w:hAnsi="News Gothic" w:cstheme="majorBidi"/>
      <w:b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40616D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616D"/>
    <w:pPr>
      <w:spacing w:after="0" w:line="240" w:lineRule="auto"/>
    </w:pPr>
    <w:rPr>
      <w:rFonts w:ascii="News Gothic" w:hAnsi="News Gothic"/>
      <w:sz w:val="16"/>
    </w:rPr>
  </w:style>
  <w:style w:type="paragraph" w:styleId="berschrift3">
    <w:name w:val="heading 3"/>
    <w:next w:val="Standard"/>
    <w:link w:val="berschrift3Zchn"/>
    <w:uiPriority w:val="1"/>
    <w:qFormat/>
    <w:rsid w:val="0040616D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40616D"/>
    <w:rPr>
      <w:rFonts w:ascii="News Gothic" w:eastAsiaTheme="majorEastAsia" w:hAnsi="News Gothic" w:cstheme="majorBidi"/>
      <w:b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40616D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Gnatowski, Jan</cp:lastModifiedBy>
  <cp:revision>3</cp:revision>
  <dcterms:created xsi:type="dcterms:W3CDTF">2016-06-17T09:23:00Z</dcterms:created>
  <dcterms:modified xsi:type="dcterms:W3CDTF">2018-01-22T13:43:00Z</dcterms:modified>
</cp:coreProperties>
</file>