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6FB3D3E"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7732BB6C" w:rsidR="001372BA" w:rsidRPr="00E9295E" w:rsidRDefault="001055EE" w:rsidP="00AB18B3">
            <w:r>
              <w:t>Düsen- und Beleuchtungseinbautöpfe</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D34BDBC" w14:textId="77777777" w:rsidR="001055EE" w:rsidRDefault="001055EE" w:rsidP="001055EE">
            <w:pPr>
              <w:pStyle w:val="KeinLeerraum"/>
            </w:pPr>
            <w:r>
              <w:t>Düsen- und Beleuchtungseinbautöpfe aus Edelstahl, Werkstoff 1.4301 (V2A), mit seitlich fest verschweißten Aufnahmen zur Verschraubung der Aufständerungs-, Justier- und Befestigungsfüße mit Bodenplatten zum höhengerechten und waagerechtem Ausrichten der Töpfe und zur Verschraubung (zur Vermeidung von Verschiebungen beim Einbringen des Betons) auf der bauseitig erstellten Bodenplatte.</w:t>
            </w:r>
          </w:p>
          <w:p w14:paraId="1B5FBE93" w14:textId="77777777" w:rsidR="001055EE" w:rsidRDefault="001055EE" w:rsidP="001055EE">
            <w:pPr>
              <w:pStyle w:val="KeinLeerraum"/>
            </w:pPr>
          </w:p>
          <w:p w14:paraId="6F4694CA" w14:textId="431EC8D2" w:rsidR="00AB18B3" w:rsidRPr="004A49D4" w:rsidRDefault="001055EE" w:rsidP="001055EE">
            <w:pPr>
              <w:pStyle w:val="KeinLeerraum"/>
            </w:pPr>
            <w:r>
              <w:t xml:space="preserve">Düsentopf mit mehreren angeschweißten Anschlüssen versehen. Mit einem Gewindeanschluss (als Muffe z.B. 1“ oder 1 1/2“ mit Innengewinde) zur Aufnahme des Düsenaufsatzes.  Mit Befestigungsmaterial zur Verschraubung der Fußplatten. Ausführung mit einer abnehmbaren, </w:t>
            </w:r>
            <w:proofErr w:type="spellStart"/>
            <w:r>
              <w:t>gelaserten</w:t>
            </w:r>
            <w:proofErr w:type="spellEnd"/>
            <w:r>
              <w:t xml:space="preserve"> Abdeckplatte 8/3 mm aus Edelstahl Werkstoff 1.4301 (V2A), die auf einem umlaufend im Düsentopf verschweißten Auflagerahmen verschraubt wird. Abdeckplatte mit Aussparungen für den Düsenstrahl, mit Mittelloch, sowie eine Aufnahme für LED Scheinwerfer, mit Schraublöcher mit Senkung, Oberfläche der Abdeckplatte glasperlgestrahlt.</w:t>
            </w:r>
            <w:r w:rsidR="00CA7877">
              <w:br/>
            </w: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1A6C4C94" w14:textId="660BEB8C" w:rsidR="009D385D" w:rsidRPr="00A04E2D" w:rsidRDefault="001055EE" w:rsidP="00A04E2D">
            <w:pPr>
              <w:tabs>
                <w:tab w:val="right" w:pos="2750"/>
              </w:tabs>
              <w:spacing w:line="276" w:lineRule="auto"/>
              <w:rPr>
                <w:rFonts w:ascii="Stone Sans II ITC Com Bk" w:hAnsi="Stone Sans II ITC Com Bk"/>
                <w:color w:val="000000"/>
                <w:kern w:val="28"/>
                <w:sz w:val="18"/>
                <w:szCs w:val="16"/>
              </w:rPr>
            </w:pPr>
            <w:r>
              <w:rPr>
                <w:rFonts w:ascii="Stone Sans II ITC Com Bk" w:hAnsi="Stone Sans II ITC Com Bk"/>
                <w:color w:val="000000"/>
                <w:kern w:val="28"/>
                <w:sz w:val="18"/>
                <w:szCs w:val="16"/>
              </w:rPr>
              <w:t xml:space="preserve">Rinnenbreite:                           </w:t>
            </w:r>
            <w:r w:rsidR="00104B07" w:rsidRPr="00A04E2D">
              <w:rPr>
                <w:rFonts w:ascii="Stone Sans II ITC Com Bk" w:hAnsi="Stone Sans II ITC Com Bk"/>
                <w:color w:val="000000"/>
                <w:kern w:val="28"/>
                <w:sz w:val="18"/>
                <w:szCs w:val="16"/>
              </w:rPr>
              <w:t>.</w:t>
            </w:r>
            <w:r w:rsidR="009D385D" w:rsidRPr="00A04E2D">
              <w:rPr>
                <w:rFonts w:ascii="Stone Sans II ITC Com Bk" w:hAnsi="Stone Sans II ITC Com Bk"/>
                <w:color w:val="000000"/>
                <w:kern w:val="28"/>
                <w:sz w:val="18"/>
                <w:szCs w:val="16"/>
              </w:rPr>
              <w:t>.. mm</w:t>
            </w:r>
          </w:p>
          <w:p w14:paraId="0B5144F1" w14:textId="6A48330C" w:rsidR="009D385D" w:rsidRDefault="001055EE" w:rsidP="0084136F">
            <w:pPr>
              <w:tabs>
                <w:tab w:val="right" w:pos="2750"/>
              </w:tabs>
              <w:spacing w:line="276" w:lineRule="auto"/>
              <w:rPr>
                <w:rFonts w:ascii="Stone Sans II ITC Com Bk" w:hAnsi="Stone Sans II ITC Com Bk"/>
                <w:color w:val="000000"/>
                <w:kern w:val="28"/>
                <w:sz w:val="18"/>
                <w:szCs w:val="16"/>
              </w:rPr>
            </w:pPr>
            <w:r>
              <w:rPr>
                <w:rFonts w:ascii="Stone Sans II ITC Com Bk" w:hAnsi="Stone Sans II ITC Com Bk"/>
                <w:color w:val="000000"/>
                <w:kern w:val="28"/>
                <w:sz w:val="18"/>
                <w:szCs w:val="16"/>
              </w:rPr>
              <w:t xml:space="preserve">Rinnenhöhe:                            </w:t>
            </w:r>
            <w:r w:rsidR="00104B07" w:rsidRPr="00A04E2D">
              <w:rPr>
                <w:rFonts w:ascii="Stone Sans II ITC Com Bk" w:hAnsi="Stone Sans II ITC Com Bk"/>
                <w:color w:val="000000"/>
                <w:kern w:val="28"/>
                <w:sz w:val="18"/>
                <w:szCs w:val="16"/>
              </w:rPr>
              <w:t>.</w:t>
            </w:r>
            <w:r w:rsidR="009D385D" w:rsidRPr="00A04E2D">
              <w:rPr>
                <w:rFonts w:ascii="Stone Sans II ITC Com Bk" w:hAnsi="Stone Sans II ITC Com Bk"/>
                <w:color w:val="000000"/>
                <w:kern w:val="28"/>
                <w:sz w:val="18"/>
                <w:szCs w:val="16"/>
              </w:rPr>
              <w:t>.. mm</w:t>
            </w:r>
          </w:p>
          <w:p w14:paraId="44812E03" w14:textId="7878B002" w:rsidR="001055EE" w:rsidRPr="001055EE" w:rsidRDefault="001055EE" w:rsidP="001055EE">
            <w:pPr>
              <w:tabs>
                <w:tab w:val="right" w:pos="2750"/>
              </w:tabs>
              <w:spacing w:line="276" w:lineRule="auto"/>
              <w:rPr>
                <w:rFonts w:ascii="Stone Sans II ITC Com Bk" w:hAnsi="Stone Sans II ITC Com Bk"/>
                <w:color w:val="000000"/>
                <w:kern w:val="28"/>
                <w:sz w:val="18"/>
                <w:szCs w:val="16"/>
              </w:rPr>
            </w:pPr>
            <w:r w:rsidRPr="001055EE">
              <w:rPr>
                <w:rFonts w:ascii="Stone Sans II ITC Com Bk" w:hAnsi="Stone Sans II ITC Com Bk"/>
                <w:color w:val="000000"/>
                <w:kern w:val="28"/>
                <w:sz w:val="18"/>
                <w:szCs w:val="16"/>
              </w:rPr>
              <w:t>Materialstärke Düsentopf:</w:t>
            </w:r>
            <w:r w:rsidRPr="00A04E2D">
              <w:rPr>
                <w:rFonts w:ascii="Stone Sans II ITC Com Bk" w:hAnsi="Stone Sans II ITC Com Bk"/>
                <w:color w:val="000000"/>
                <w:kern w:val="28"/>
                <w:sz w:val="18"/>
                <w:szCs w:val="16"/>
              </w:rPr>
              <w:t xml:space="preserve"> </w:t>
            </w:r>
            <w:r w:rsidRPr="00A04E2D">
              <w:rPr>
                <w:rFonts w:ascii="Stone Sans II ITC Com Bk" w:hAnsi="Stone Sans II ITC Com Bk"/>
                <w:color w:val="000000"/>
                <w:kern w:val="28"/>
                <w:sz w:val="18"/>
                <w:szCs w:val="16"/>
              </w:rPr>
              <w:tab/>
            </w:r>
            <w:r w:rsidRPr="001055EE">
              <w:rPr>
                <w:rFonts w:ascii="Stone Sans II ITC Com Bk" w:hAnsi="Stone Sans II ITC Com Bk"/>
                <w:color w:val="000000"/>
                <w:kern w:val="28"/>
                <w:sz w:val="18"/>
                <w:szCs w:val="16"/>
              </w:rPr>
              <w:t xml:space="preserve">      3 mm</w:t>
            </w:r>
          </w:p>
          <w:p w14:paraId="2ACEF645" w14:textId="36B475C1" w:rsidR="001055EE" w:rsidRPr="001055EE" w:rsidRDefault="001055EE" w:rsidP="001055EE">
            <w:pPr>
              <w:tabs>
                <w:tab w:val="right" w:pos="2750"/>
              </w:tabs>
              <w:spacing w:line="276" w:lineRule="auto"/>
              <w:rPr>
                <w:rFonts w:ascii="Stone Sans II ITC Com Bk" w:hAnsi="Stone Sans II ITC Com Bk"/>
                <w:color w:val="000000"/>
                <w:kern w:val="28"/>
                <w:sz w:val="18"/>
                <w:szCs w:val="16"/>
              </w:rPr>
            </w:pPr>
            <w:r>
              <w:rPr>
                <w:rFonts w:ascii="Stone Sans II ITC Com Bk" w:hAnsi="Stone Sans II ITC Com Bk"/>
                <w:color w:val="000000"/>
                <w:kern w:val="28"/>
                <w:sz w:val="18"/>
                <w:szCs w:val="16"/>
              </w:rPr>
              <w:t xml:space="preserve">Düsentopfhöhe: </w:t>
            </w:r>
            <w:r w:rsidRPr="00A04E2D">
              <w:rPr>
                <w:rFonts w:ascii="Stone Sans II ITC Com Bk" w:hAnsi="Stone Sans II ITC Com Bk"/>
                <w:color w:val="000000"/>
                <w:kern w:val="28"/>
                <w:sz w:val="18"/>
                <w:szCs w:val="16"/>
              </w:rPr>
              <w:tab/>
            </w:r>
            <w:r>
              <w:rPr>
                <w:rFonts w:ascii="Stone Sans II ITC Com Bk" w:hAnsi="Stone Sans II ITC Com Bk"/>
                <w:color w:val="000000"/>
                <w:kern w:val="28"/>
                <w:sz w:val="18"/>
                <w:szCs w:val="16"/>
              </w:rPr>
              <w:t xml:space="preserve">                     …</w:t>
            </w:r>
            <w:r w:rsidRPr="001055EE">
              <w:rPr>
                <w:rFonts w:ascii="Stone Sans II ITC Com Bk" w:hAnsi="Stone Sans II ITC Com Bk"/>
                <w:color w:val="000000"/>
                <w:kern w:val="28"/>
                <w:sz w:val="18"/>
                <w:szCs w:val="16"/>
              </w:rPr>
              <w:t xml:space="preserve"> mm</w:t>
            </w:r>
            <w:r w:rsidRPr="001055EE">
              <w:rPr>
                <w:rFonts w:ascii="Stone Sans II ITC Com Bk" w:hAnsi="Stone Sans II ITC Com Bk"/>
                <w:color w:val="000000"/>
                <w:kern w:val="28"/>
                <w:sz w:val="18"/>
                <w:szCs w:val="16"/>
              </w:rPr>
              <w:tab/>
            </w:r>
          </w:p>
          <w:p w14:paraId="60CA6BFD" w14:textId="49EE6501" w:rsidR="001055EE" w:rsidRPr="001055EE" w:rsidRDefault="001055EE" w:rsidP="001055EE">
            <w:pPr>
              <w:tabs>
                <w:tab w:val="right" w:pos="2750"/>
              </w:tabs>
              <w:spacing w:line="276" w:lineRule="auto"/>
              <w:rPr>
                <w:rFonts w:ascii="Stone Sans II ITC Com Bk" w:hAnsi="Stone Sans II ITC Com Bk"/>
                <w:color w:val="000000"/>
                <w:kern w:val="28"/>
                <w:sz w:val="18"/>
                <w:szCs w:val="16"/>
              </w:rPr>
            </w:pPr>
            <w:r w:rsidRPr="001055EE">
              <w:rPr>
                <w:rFonts w:ascii="Stone Sans II ITC Com Bk" w:hAnsi="Stone Sans II ITC Com Bk"/>
                <w:color w:val="000000"/>
                <w:kern w:val="28"/>
                <w:sz w:val="18"/>
                <w:szCs w:val="16"/>
              </w:rPr>
              <w:t xml:space="preserve">Düsentopfdurchmesser:  </w:t>
            </w:r>
            <w:r w:rsidRPr="00A04E2D">
              <w:rPr>
                <w:rFonts w:ascii="Stone Sans II ITC Com Bk" w:hAnsi="Stone Sans II ITC Com Bk"/>
                <w:color w:val="000000"/>
                <w:kern w:val="28"/>
                <w:sz w:val="18"/>
                <w:szCs w:val="16"/>
              </w:rPr>
              <w:tab/>
            </w:r>
            <w:r>
              <w:rPr>
                <w:rFonts w:ascii="Stone Sans II ITC Com Bk" w:hAnsi="Stone Sans II ITC Com Bk"/>
                <w:color w:val="000000"/>
                <w:kern w:val="28"/>
                <w:sz w:val="18"/>
                <w:szCs w:val="16"/>
              </w:rPr>
              <w:t xml:space="preserve">  </w:t>
            </w:r>
            <w:r>
              <w:rPr>
                <w:rFonts w:ascii="Stone Sans II ITC Com Bk" w:hAnsi="Stone Sans II ITC Com Bk"/>
                <w:color w:val="000000"/>
                <w:kern w:val="28"/>
                <w:sz w:val="18"/>
                <w:szCs w:val="16"/>
              </w:rPr>
              <w:t xml:space="preserve">     </w:t>
            </w:r>
            <w:r>
              <w:rPr>
                <w:rFonts w:ascii="Stone Sans II ITC Com Bk" w:hAnsi="Stone Sans II ITC Com Bk"/>
                <w:color w:val="000000"/>
                <w:kern w:val="28"/>
                <w:sz w:val="18"/>
                <w:szCs w:val="16"/>
              </w:rPr>
              <w:t>…</w:t>
            </w:r>
            <w:r w:rsidRPr="001055EE">
              <w:rPr>
                <w:rFonts w:ascii="Stone Sans II ITC Com Bk" w:hAnsi="Stone Sans II ITC Com Bk"/>
                <w:color w:val="000000"/>
                <w:kern w:val="28"/>
                <w:sz w:val="18"/>
                <w:szCs w:val="16"/>
              </w:rPr>
              <w:t xml:space="preserve"> mm</w:t>
            </w:r>
            <w:r w:rsidRPr="001055EE">
              <w:rPr>
                <w:rFonts w:ascii="Stone Sans II ITC Com Bk" w:hAnsi="Stone Sans II ITC Com Bk"/>
                <w:color w:val="000000"/>
                <w:kern w:val="28"/>
                <w:sz w:val="18"/>
                <w:szCs w:val="16"/>
              </w:rPr>
              <w:tab/>
            </w:r>
          </w:p>
          <w:p w14:paraId="509DA838" w14:textId="632326D8" w:rsidR="001055EE" w:rsidRPr="001055EE" w:rsidRDefault="001055EE" w:rsidP="001055EE">
            <w:pPr>
              <w:tabs>
                <w:tab w:val="right" w:pos="2750"/>
              </w:tabs>
              <w:spacing w:line="276" w:lineRule="auto"/>
              <w:rPr>
                <w:rFonts w:ascii="Stone Sans II ITC Com Bk" w:hAnsi="Stone Sans II ITC Com Bk"/>
                <w:color w:val="000000"/>
                <w:kern w:val="28"/>
                <w:sz w:val="18"/>
                <w:szCs w:val="16"/>
              </w:rPr>
            </w:pPr>
            <w:r>
              <w:rPr>
                <w:rFonts w:ascii="Stone Sans II ITC Com Bk" w:hAnsi="Stone Sans II ITC Com Bk"/>
                <w:color w:val="000000"/>
                <w:kern w:val="28"/>
                <w:sz w:val="18"/>
                <w:szCs w:val="16"/>
              </w:rPr>
              <w:t xml:space="preserve">Durchmesser Abdeckung:  </w:t>
            </w:r>
            <w:r>
              <w:rPr>
                <w:rFonts w:ascii="Stone Sans II ITC Com Bk" w:hAnsi="Stone Sans II ITC Com Bk"/>
                <w:color w:val="000000"/>
                <w:kern w:val="28"/>
                <w:sz w:val="18"/>
                <w:szCs w:val="16"/>
              </w:rPr>
              <w:t xml:space="preserve">  </w:t>
            </w:r>
            <w:r>
              <w:rPr>
                <w:rFonts w:ascii="Stone Sans II ITC Com Bk" w:hAnsi="Stone Sans II ITC Com Bk"/>
                <w:color w:val="000000"/>
                <w:kern w:val="28"/>
                <w:sz w:val="18"/>
                <w:szCs w:val="16"/>
              </w:rPr>
              <w:t xml:space="preserve">  .</w:t>
            </w:r>
            <w:r w:rsidRPr="001055EE">
              <w:rPr>
                <w:rFonts w:ascii="Stone Sans II ITC Com Bk" w:hAnsi="Stone Sans II ITC Com Bk"/>
                <w:color w:val="000000"/>
                <w:kern w:val="28"/>
                <w:sz w:val="18"/>
                <w:szCs w:val="16"/>
              </w:rPr>
              <w:t xml:space="preserve">.. mm </w:t>
            </w:r>
          </w:p>
          <w:p w14:paraId="3AE8BC86" w14:textId="019079B1" w:rsidR="00AB18B3" w:rsidRDefault="001055EE" w:rsidP="001055EE">
            <w:pPr>
              <w:tabs>
                <w:tab w:val="right" w:pos="2750"/>
              </w:tabs>
              <w:spacing w:line="276" w:lineRule="auto"/>
              <w:rPr>
                <w:rFonts w:ascii="Stone Sans II ITC Com Bk" w:hAnsi="Stone Sans II ITC Com Bk"/>
                <w:color w:val="000000"/>
                <w:kern w:val="28"/>
                <w:sz w:val="18"/>
                <w:szCs w:val="16"/>
              </w:rPr>
            </w:pPr>
            <w:r w:rsidRPr="001055EE">
              <w:rPr>
                <w:rFonts w:ascii="Stone Sans II ITC Com Bk" w:hAnsi="Stone Sans II ITC Com Bk"/>
                <w:color w:val="000000"/>
                <w:kern w:val="28"/>
                <w:sz w:val="18"/>
                <w:szCs w:val="16"/>
              </w:rPr>
              <w:t>Materialstärke Abdeckung:  8/3 mm</w:t>
            </w:r>
          </w:p>
          <w:p w14:paraId="1E991BE6" w14:textId="77777777" w:rsidR="001055EE" w:rsidRPr="001055EE" w:rsidRDefault="001055EE" w:rsidP="001055EE">
            <w:pPr>
              <w:tabs>
                <w:tab w:val="right" w:pos="2750"/>
              </w:tabs>
              <w:spacing w:line="276" w:lineRule="auto"/>
              <w:rPr>
                <w:rFonts w:ascii="Stone Sans II ITC Com Bk" w:hAnsi="Stone Sans II ITC Com Bk"/>
                <w:color w:val="000000"/>
                <w:kern w:val="28"/>
                <w:sz w:val="18"/>
                <w:szCs w:val="16"/>
              </w:rPr>
            </w:pPr>
          </w:p>
          <w:p w14:paraId="1853E4E7" w14:textId="332E542D" w:rsidR="009D385D" w:rsidRPr="00DA4F04" w:rsidRDefault="001055EE" w:rsidP="00857C05">
            <w:pPr>
              <w:pStyle w:val="KeinLeerraum"/>
              <w:rPr>
                <w:rFonts w:ascii="Stone Sans II ITC Com Bk" w:hAnsi="Stone Sans II ITC Com Bk"/>
                <w:b/>
              </w:rPr>
            </w:pPr>
            <w:r w:rsidRPr="001055EE">
              <w:rPr>
                <w:rFonts w:cs="Arial"/>
                <w:szCs w:val="16"/>
              </w:rPr>
              <w:t>Düsentöpfe vor Ort entsprechend Raster vermessen und im Gefälle der Düsenfläche einbauen, ausrichten</w:t>
            </w:r>
            <w:r>
              <w:rPr>
                <w:rFonts w:cs="Arial"/>
                <w:szCs w:val="16"/>
              </w:rPr>
              <w:t xml:space="preserve"> und auf der Sauberkeitsschicht </w:t>
            </w:r>
            <w:r w:rsidRPr="001055EE">
              <w:rPr>
                <w:rFonts w:cs="Arial"/>
                <w:szCs w:val="16"/>
              </w:rPr>
              <w:t>verschrauben.</w:t>
            </w:r>
            <w:r>
              <w:rPr>
                <w:rFonts w:cs="Arial"/>
                <w:szCs w:val="16"/>
              </w:rPr>
              <w:br/>
            </w:r>
            <w:r w:rsidR="009D385D"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1A6CA29B" w:rsidR="009D385D" w:rsidRPr="00DA4F04" w:rsidRDefault="009D385D" w:rsidP="001055EE">
            <w:pPr>
              <w:pStyle w:val="KeinLeerraum"/>
              <w:jc w:val="right"/>
              <w:rPr>
                <w:rFonts w:ascii="Stone Sans II ITC Com Bk" w:hAnsi="Stone Sans II ITC Com Bk"/>
                <w:b/>
              </w:rPr>
            </w:pPr>
            <w:r w:rsidRPr="00A45516">
              <w:rPr>
                <w:rFonts w:ascii="Stone Sans II ITC Com Bk" w:hAnsi="Stone Sans II ITC Com Bk"/>
                <w:b/>
              </w:rPr>
              <w:t xml:space="preserve">… </w:t>
            </w:r>
            <w:r w:rsidR="001055EE">
              <w:rPr>
                <w:rFonts w:ascii="Stone Sans II ITC Com Bk" w:hAnsi="Stone Sans II ITC Com Bk"/>
                <w:b/>
              </w:rPr>
              <w:t>Stück</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6FB546D4" w14:textId="5BD0F9D4" w:rsidR="001055EE" w:rsidRDefault="001055EE" w:rsidP="001055EE">
            <w:pPr>
              <w:pStyle w:val="KeinLeerraum"/>
            </w:pPr>
            <w:r>
              <w:t xml:space="preserve">Winterabdeckung, </w:t>
            </w:r>
            <w:r>
              <w:t>Werkstoff</w:t>
            </w:r>
            <w:r>
              <w:t xml:space="preserve"> 1.4301 (V2A), </w:t>
            </w:r>
          </w:p>
          <w:p w14:paraId="186B3458" w14:textId="03EB73EE" w:rsidR="001055EE" w:rsidRDefault="001055EE" w:rsidP="001055EE">
            <w:pPr>
              <w:pStyle w:val="KeinLeerraum"/>
            </w:pPr>
            <w:r>
              <w:t>Du</w:t>
            </w:r>
            <w:r>
              <w:t>r</w:t>
            </w:r>
            <w:r>
              <w:t xml:space="preserve">chmesser: </w:t>
            </w:r>
            <w:r>
              <w:t xml:space="preserve">      ..</w:t>
            </w:r>
            <w:r>
              <w:t>.</w:t>
            </w:r>
          </w:p>
          <w:p w14:paraId="20FDEF40" w14:textId="63C3DB39" w:rsidR="009D385D" w:rsidRPr="001D315C" w:rsidRDefault="001055EE" w:rsidP="001055EE">
            <w:pPr>
              <w:pStyle w:val="KeinLeerraum"/>
            </w:pPr>
            <w:r>
              <w:t>Materialstärke: 3 mm</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69C6FC01" w14:textId="72B9E8DA" w:rsidR="001055EE" w:rsidRDefault="001055EE" w:rsidP="001055EE">
            <w:pPr>
              <w:pStyle w:val="KeinLeerraum"/>
            </w:pPr>
            <w:r>
              <w:t>Winterabdeckung,</w:t>
            </w:r>
            <w:r>
              <w:t xml:space="preserve"> als Tränenblechabdeckung</w:t>
            </w:r>
            <w:r>
              <w:t xml:space="preserve"> Werkstoff 1.4301 (V2A), </w:t>
            </w:r>
          </w:p>
          <w:p w14:paraId="11BE9D24" w14:textId="77777777" w:rsidR="001055EE" w:rsidRDefault="001055EE" w:rsidP="001055EE">
            <w:pPr>
              <w:pStyle w:val="KeinLeerraum"/>
            </w:pPr>
            <w:r>
              <w:t>Durchmesser:       ...</w:t>
            </w:r>
          </w:p>
          <w:p w14:paraId="57DD1D70" w14:textId="589F1B55" w:rsidR="009D385D" w:rsidRPr="001D315C" w:rsidRDefault="001055EE" w:rsidP="001055EE">
            <w:pPr>
              <w:pStyle w:val="KeinLeerraum"/>
            </w:pPr>
            <w:r>
              <w:t>Materialstärke: 3 mm</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bl>
    <w:p w14:paraId="03132E77" w14:textId="442189E4" w:rsidR="009D385D" w:rsidRDefault="00867E3F" w:rsidP="00BE7CE5">
      <w:pPr>
        <w:pStyle w:val="KeinLeerraum"/>
      </w:pPr>
      <w:bookmarkStart w:id="0" w:name="_GoBack"/>
      <w:bookmarkEnd w:id="0"/>
      <w:r w:rsidRPr="00A45516">
        <w:rPr>
          <w:color w:val="595959" w:themeColor="text1" w:themeTint="A6"/>
        </w:rPr>
        <w:t xml:space="preserve"> </w:t>
      </w:r>
      <w:r w:rsidR="009D385D" w:rsidRPr="00A45516">
        <w:rPr>
          <w:color w:val="595959" w:themeColor="text1" w:themeTint="A6"/>
        </w:rPr>
        <w:t>(Nichtzutreffendes bitte streichen)</w:t>
      </w:r>
      <w:r w:rsidR="009D385D" w:rsidRPr="00A45516">
        <w:rPr>
          <w:color w:val="595959" w:themeColor="text1" w:themeTint="A6"/>
        </w:rPr>
        <w:tab/>
      </w:r>
      <w:r w:rsidR="009D385D"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055EE"/>
    <w:rsid w:val="001372BA"/>
    <w:rsid w:val="002525F6"/>
    <w:rsid w:val="00276EFD"/>
    <w:rsid w:val="003160FF"/>
    <w:rsid w:val="00351CBE"/>
    <w:rsid w:val="004652AB"/>
    <w:rsid w:val="004A49D4"/>
    <w:rsid w:val="005851DF"/>
    <w:rsid w:val="005A6D5A"/>
    <w:rsid w:val="005A6E5C"/>
    <w:rsid w:val="0062643C"/>
    <w:rsid w:val="006F3FA0"/>
    <w:rsid w:val="007112C8"/>
    <w:rsid w:val="00736381"/>
    <w:rsid w:val="0084136F"/>
    <w:rsid w:val="00857C05"/>
    <w:rsid w:val="00867E3F"/>
    <w:rsid w:val="00881199"/>
    <w:rsid w:val="008F6B88"/>
    <w:rsid w:val="00937144"/>
    <w:rsid w:val="00962E3D"/>
    <w:rsid w:val="009C202B"/>
    <w:rsid w:val="009D385D"/>
    <w:rsid w:val="009F661C"/>
    <w:rsid w:val="00A04E2D"/>
    <w:rsid w:val="00A202A1"/>
    <w:rsid w:val="00A45516"/>
    <w:rsid w:val="00A543B0"/>
    <w:rsid w:val="00A96989"/>
    <w:rsid w:val="00AB18B3"/>
    <w:rsid w:val="00AE6216"/>
    <w:rsid w:val="00B8252B"/>
    <w:rsid w:val="00BE7CE5"/>
    <w:rsid w:val="00C07405"/>
    <w:rsid w:val="00C34069"/>
    <w:rsid w:val="00CA7877"/>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2</cp:revision>
  <cp:lastPrinted>2022-01-27T12:38:00Z</cp:lastPrinted>
  <dcterms:created xsi:type="dcterms:W3CDTF">2022-09-06T11:21:00Z</dcterms:created>
  <dcterms:modified xsi:type="dcterms:W3CDTF">2022-09-06T11:21:00Z</dcterms:modified>
</cp:coreProperties>
</file>