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DC5E773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31077644" w:rsidR="001372BA" w:rsidRPr="00E9295E" w:rsidRDefault="000B6418" w:rsidP="00DA4F04">
            <w:r>
              <w:t>Punktablauf Muldenform Typ 701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2FA79089" w:rsidR="001372BA" w:rsidRPr="005236B7" w:rsidRDefault="001372BA" w:rsidP="00416726">
            <w:pPr>
              <w:jc w:val="right"/>
            </w:pPr>
            <w:r w:rsidRPr="005236B7">
              <w:t xml:space="preserve">Werkstoff </w:t>
            </w:r>
            <w:r w:rsidR="000B6418">
              <w:t>Edelstahl/</w:t>
            </w:r>
            <w:r w:rsidR="000B6418">
              <w:br/>
            </w:r>
            <w:r w:rsidR="00416726">
              <w:t>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74A8C53" w14:textId="09E8C0C9" w:rsidR="000B6418" w:rsidRDefault="000B6418" w:rsidP="000B6418">
            <w:pPr>
              <w:pStyle w:val="KeinLeerraum"/>
            </w:pPr>
            <w:r w:rsidRPr="000B6418">
              <w:rPr>
                <w:b/>
              </w:rPr>
              <w:t>Punktablauf für Pflastermulden aus Edelstahl</w:t>
            </w:r>
            <w:r>
              <w:t xml:space="preserve"> mit massivem 5 mm Einlaufrand, Typ </w:t>
            </w:r>
            <w:proofErr w:type="spellStart"/>
            <w:r>
              <w:t>ino</w:t>
            </w:r>
            <w:proofErr w:type="spellEnd"/>
            <w:r>
              <w:t xml:space="preserve"> 701-VA aus Werkstoff 1.4301 (V2A), Materialstärke 2 mm, Punktablauf mit einer Stichhöhe von 12,5 mm. Abdeckung als Querstabrostabdeckung mit Randeinfassung Stababmessung 30/8 mm, lichter Stababstand ca. 18 mm, inkl. Arretierung. </w:t>
            </w:r>
            <w:r>
              <w:br/>
            </w:r>
            <w:r>
              <w:t xml:space="preserve">Belastung bis C 250, in Anlehnung an DIN EN 1433. </w:t>
            </w:r>
          </w:p>
          <w:p w14:paraId="64FF2921" w14:textId="77777777" w:rsidR="000B6418" w:rsidRDefault="000B6418" w:rsidP="000B6418">
            <w:pPr>
              <w:pStyle w:val="KeinLeerraum"/>
            </w:pPr>
            <w:r>
              <w:t>Inotec Artikel-Nr. 15420 ff.</w:t>
            </w:r>
          </w:p>
          <w:p w14:paraId="5B80CE3E" w14:textId="77777777" w:rsidR="000B6418" w:rsidRDefault="000B6418" w:rsidP="000B6418">
            <w:pPr>
              <w:pStyle w:val="KeinLeerraum"/>
            </w:pPr>
          </w:p>
          <w:p w14:paraId="08F95A76" w14:textId="24919C8B" w:rsidR="000B6418" w:rsidRDefault="000B6418" w:rsidP="000B6418">
            <w:pPr>
              <w:pStyle w:val="KeinLeerraum"/>
            </w:pPr>
            <w:r w:rsidRPr="000B6418">
              <w:rPr>
                <w:b/>
              </w:rPr>
              <w:t>Punktablauf für Pflastermulden stückverzinkt</w:t>
            </w:r>
            <w:r>
              <w:t xml:space="preserve"> nach DIN EN ISO 1461 nach DIN EN ISO 1461 mit massivem 5 mm Einlaufrand, Typ </w:t>
            </w:r>
            <w:proofErr w:type="spellStart"/>
            <w:r>
              <w:t>ino</w:t>
            </w:r>
            <w:proofErr w:type="spellEnd"/>
            <w:r>
              <w:t xml:space="preserve"> 701-Zn aus Stahl S235JR – stü</w:t>
            </w:r>
            <w:r>
              <w:t>ckverzinkt nach DIN EN ISO 1461</w:t>
            </w:r>
            <w:r>
              <w:t xml:space="preserve">, Materialstärke 2 mm, Punktablauf mit einer Stichhöhe von 12,5 mm. Abdeckung als Querstabrostabdeckung mit Randeinfassung Stababmessung 30/8 mm, lichter Stababstand von ca. 18 mm, inkl. Arretierung. Belastung bis C 250, in Anlehnung an DIN EN 1433. </w:t>
            </w:r>
          </w:p>
          <w:p w14:paraId="1B0FEF07" w14:textId="61101B03" w:rsidR="00AA58D2" w:rsidRPr="001D315C" w:rsidRDefault="000B6418" w:rsidP="000B6418">
            <w:pPr>
              <w:pStyle w:val="KeinLeerraum"/>
              <w:rPr>
                <w:rFonts w:cs="Arial"/>
                <w:szCs w:val="16"/>
              </w:rPr>
            </w:pPr>
            <w:r>
              <w:t>Inotec Artikel-Nr. 15420 ff.</w:t>
            </w:r>
            <w:r w:rsidR="00F8701F">
              <w:br/>
            </w:r>
            <w:bookmarkStart w:id="0" w:name="_GoBack"/>
            <w:bookmarkEnd w:id="0"/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24F07770" w14:textId="4D8F5800" w:rsidR="000B6418" w:rsidRPr="000B6418" w:rsidRDefault="000B6418" w:rsidP="000B6418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0B6418">
              <w:rPr>
                <w:color w:val="000000"/>
                <w:kern w:val="28"/>
                <w:szCs w:val="16"/>
              </w:rPr>
              <w:t>Baubreite:</w:t>
            </w:r>
            <w:r w:rsidRPr="000B6418">
              <w:rPr>
                <w:color w:val="000000"/>
                <w:kern w:val="28"/>
                <w:szCs w:val="16"/>
              </w:rPr>
              <w:t xml:space="preserve"> </w:t>
            </w:r>
            <w:r w:rsidRPr="000B6418">
              <w:rPr>
                <w:color w:val="000000"/>
                <w:kern w:val="28"/>
                <w:szCs w:val="16"/>
              </w:rPr>
              <w:tab/>
            </w:r>
            <w:r w:rsidRPr="000B6418">
              <w:rPr>
                <w:color w:val="000000"/>
                <w:kern w:val="28"/>
                <w:szCs w:val="16"/>
              </w:rPr>
              <w:tab/>
              <w:t>200 mm</w:t>
            </w:r>
          </w:p>
          <w:p w14:paraId="3822D3DD" w14:textId="3855997E" w:rsidR="000B6418" w:rsidRPr="000B6418" w:rsidRDefault="000B6418" w:rsidP="000B6418">
            <w:pPr>
              <w:pStyle w:val="KeinLeerraum"/>
              <w:rPr>
                <w:color w:val="000000"/>
                <w:kern w:val="28"/>
                <w:szCs w:val="16"/>
              </w:rPr>
            </w:pPr>
            <w:proofErr w:type="spellStart"/>
            <w:r w:rsidRPr="000B6418">
              <w:rPr>
                <w:color w:val="000000"/>
                <w:kern w:val="28"/>
                <w:szCs w:val="16"/>
              </w:rPr>
              <w:t>Baulänge</w:t>
            </w:r>
            <w:proofErr w:type="spellEnd"/>
            <w:r w:rsidRPr="000B6418">
              <w:rPr>
                <w:color w:val="000000"/>
                <w:kern w:val="28"/>
                <w:szCs w:val="16"/>
              </w:rPr>
              <w:t>:</w:t>
            </w:r>
            <w:r w:rsidRPr="000B6418">
              <w:rPr>
                <w:color w:val="000000"/>
                <w:kern w:val="28"/>
                <w:szCs w:val="16"/>
              </w:rPr>
              <w:t xml:space="preserve"> </w:t>
            </w:r>
            <w:r w:rsidRPr="000B6418">
              <w:rPr>
                <w:color w:val="000000"/>
                <w:kern w:val="28"/>
                <w:szCs w:val="16"/>
              </w:rPr>
              <w:tab/>
            </w:r>
            <w:r w:rsidRPr="000B6418">
              <w:rPr>
                <w:color w:val="000000"/>
                <w:kern w:val="28"/>
                <w:szCs w:val="16"/>
              </w:rPr>
              <w:tab/>
              <w:t xml:space="preserve">300 mm </w:t>
            </w:r>
          </w:p>
          <w:p w14:paraId="2B268666" w14:textId="40FEB88B" w:rsidR="000B6418" w:rsidRPr="000B6418" w:rsidRDefault="000B6418" w:rsidP="000B6418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0B6418">
              <w:rPr>
                <w:color w:val="000000"/>
                <w:kern w:val="28"/>
                <w:szCs w:val="16"/>
              </w:rPr>
              <w:t>Bauhöhe:</w:t>
            </w:r>
            <w:r w:rsidRPr="000B6418">
              <w:rPr>
                <w:color w:val="000000"/>
                <w:kern w:val="28"/>
                <w:szCs w:val="16"/>
              </w:rPr>
              <w:t xml:space="preserve"> </w:t>
            </w:r>
            <w:r w:rsidRPr="000B6418">
              <w:rPr>
                <w:color w:val="000000"/>
                <w:kern w:val="28"/>
                <w:szCs w:val="16"/>
              </w:rPr>
              <w:tab/>
            </w:r>
            <w:r w:rsidRPr="000B6418">
              <w:rPr>
                <w:color w:val="000000"/>
                <w:kern w:val="28"/>
                <w:szCs w:val="16"/>
              </w:rPr>
              <w:tab/>
              <w:t>300 mm</w:t>
            </w:r>
          </w:p>
          <w:p w14:paraId="3356025E" w14:textId="7FFECAF9" w:rsidR="000B6418" w:rsidRPr="001D315C" w:rsidRDefault="000B6418" w:rsidP="000B6418">
            <w:pPr>
              <w:pStyle w:val="KeinLeerraum"/>
              <w:rPr>
                <w:color w:val="000000"/>
                <w:kern w:val="28"/>
                <w:szCs w:val="16"/>
              </w:rPr>
            </w:pPr>
            <w:r w:rsidRPr="000B6418">
              <w:rPr>
                <w:color w:val="000000"/>
                <w:kern w:val="28"/>
                <w:szCs w:val="16"/>
              </w:rPr>
              <w:t>Ablauf waagerecht:</w:t>
            </w:r>
            <w:r w:rsidRPr="000B6418">
              <w:rPr>
                <w:color w:val="000000"/>
                <w:kern w:val="28"/>
                <w:szCs w:val="16"/>
              </w:rPr>
              <w:tab/>
              <w:t>DN 100 stirnseitig angeordnet</w:t>
            </w:r>
          </w:p>
          <w:p w14:paraId="22F3239C" w14:textId="5179A003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3B185EAC" w:rsidR="009D385D" w:rsidRPr="00DA4F04" w:rsidRDefault="000B6418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0B6418">
              <w:rPr>
                <w:rFonts w:cs="Arial"/>
                <w:szCs w:val="16"/>
              </w:rPr>
              <w:t>Liefern, sowie nach Herstellervorschrift höhen- und fluchtgerecht auf 15 cm starkem Betonfundament verlegen mit umlaufenden 15 cm breiten Seitenstützen aus mindestens Betongüte C20/25 nach EN 206/1 und an die Rohrleitung anschließen.</w:t>
            </w:r>
            <w:r w:rsidR="00C335FF"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36E9E87A" w:rsidR="009D385D" w:rsidRPr="00DA4F04" w:rsidRDefault="000B6418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…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3EA14DA9" w:rsidR="009D385D" w:rsidRPr="001D315C" w:rsidRDefault="00F8701F" w:rsidP="001F0095">
            <w:pPr>
              <w:pStyle w:val="KeinLeerraum"/>
            </w:pPr>
            <w:r w:rsidRPr="00F8701F">
              <w:t>Schmutzeimer aus Edelstahl mit großem Auffangvolumen.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58FA70CA" w:rsidR="009D385D" w:rsidRPr="001D315C" w:rsidRDefault="00F8701F" w:rsidP="001F0095">
            <w:pPr>
              <w:pStyle w:val="KeinLeerraum"/>
            </w:pPr>
            <w:r w:rsidRPr="00F8701F"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46C96708" w:rsidR="009D385D" w:rsidRDefault="009D385D" w:rsidP="00BE7CE5">
      <w:pPr>
        <w:pStyle w:val="KeinLeerraum"/>
      </w:pPr>
      <w:r>
        <w:rPr>
          <w:i/>
        </w:rPr>
        <w:t xml:space="preserve">  </w:t>
      </w:r>
      <w:r w:rsidRPr="00A45516">
        <w:rPr>
          <w:color w:val="595959" w:themeColor="text1" w:themeTint="A6"/>
        </w:rPr>
        <w:t>(Nichtzutreffendes bitte streichen)</w:t>
      </w:r>
      <w:r w:rsidRPr="00A45516">
        <w:rPr>
          <w:color w:val="595959" w:themeColor="text1" w:themeTint="A6"/>
        </w:rPr>
        <w:tab/>
      </w:r>
      <w:r w:rsidRPr="00A45516">
        <w:rPr>
          <w:color w:val="595959" w:themeColor="text1" w:themeTint="A6"/>
        </w:rPr>
        <w:tab/>
        <w:t xml:space="preserve"> </w:t>
      </w:r>
      <w:r w:rsidR="000B6418" w:rsidRPr="000B6418">
        <w:rPr>
          <w:color w:val="595959" w:themeColor="text1" w:themeTint="A6"/>
        </w:rPr>
        <w:t>Alternativ: Werkstoff V4A (1.4404)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B6418"/>
    <w:rsid w:val="000C30E9"/>
    <w:rsid w:val="00104B07"/>
    <w:rsid w:val="001372BA"/>
    <w:rsid w:val="002525F6"/>
    <w:rsid w:val="00276EFD"/>
    <w:rsid w:val="003160FF"/>
    <w:rsid w:val="00351CBE"/>
    <w:rsid w:val="00416726"/>
    <w:rsid w:val="004652AB"/>
    <w:rsid w:val="005851DF"/>
    <w:rsid w:val="00681D90"/>
    <w:rsid w:val="006F3FA0"/>
    <w:rsid w:val="007112C8"/>
    <w:rsid w:val="00736381"/>
    <w:rsid w:val="00857C05"/>
    <w:rsid w:val="008F6B88"/>
    <w:rsid w:val="00962E3D"/>
    <w:rsid w:val="009C202B"/>
    <w:rsid w:val="009D385D"/>
    <w:rsid w:val="009F661C"/>
    <w:rsid w:val="00A45516"/>
    <w:rsid w:val="00A543B0"/>
    <w:rsid w:val="00A96989"/>
    <w:rsid w:val="00AA58D2"/>
    <w:rsid w:val="00AE6216"/>
    <w:rsid w:val="00B8252B"/>
    <w:rsid w:val="00BE7CE5"/>
    <w:rsid w:val="00C335FF"/>
    <w:rsid w:val="00C34069"/>
    <w:rsid w:val="00DA4F04"/>
    <w:rsid w:val="00DC4CE0"/>
    <w:rsid w:val="00E33815"/>
    <w:rsid w:val="00EC142A"/>
    <w:rsid w:val="00EF606B"/>
    <w:rsid w:val="00F37D5B"/>
    <w:rsid w:val="00F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2</cp:revision>
  <cp:lastPrinted>2022-01-27T12:38:00Z</cp:lastPrinted>
  <dcterms:created xsi:type="dcterms:W3CDTF">2022-09-06T07:59:00Z</dcterms:created>
  <dcterms:modified xsi:type="dcterms:W3CDTF">2022-09-06T07:59:00Z</dcterms:modified>
</cp:coreProperties>
</file>